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F7" w:rsidRDefault="007C02F7" w:rsidP="007C02F7">
      <w:pPr>
        <w:spacing w:line="360" w:lineRule="auto"/>
        <w:jc w:val="center"/>
        <w:rPr>
          <w:b/>
          <w:sz w:val="28"/>
        </w:rPr>
      </w:pPr>
      <w:smartTag w:uri="urn:schemas-microsoft-com:office:smarttags" w:element="place">
        <w:r>
          <w:rPr>
            <w:b/>
            <w:sz w:val="28"/>
          </w:rPr>
          <w:t>Rutgers</w:t>
        </w:r>
      </w:smartTag>
      <w:r>
        <w:rPr>
          <w:b/>
          <w:sz w:val="28"/>
        </w:rPr>
        <w:t xml:space="preserve"> – The </w:t>
      </w:r>
      <w:smartTag w:uri="urn:schemas-microsoft-com:office:smarttags" w:element="place">
        <w:smartTag w:uri="urn:schemas-microsoft-com:office:smarttags" w:element="PlaceType">
          <w:r>
            <w:rPr>
              <w:b/>
              <w:sz w:val="28"/>
            </w:rPr>
            <w:t>State</w:t>
          </w:r>
        </w:smartTag>
        <w:r>
          <w:rPr>
            <w:b/>
            <w:sz w:val="28"/>
          </w:rPr>
          <w:t xml:space="preserve"> </w:t>
        </w:r>
        <w:smartTag w:uri="urn:schemas-microsoft-com:office:smarttags" w:element="PlaceType">
          <w:r>
            <w:rPr>
              <w:b/>
              <w:sz w:val="28"/>
            </w:rPr>
            <w:t>University</w:t>
          </w:r>
        </w:smartTag>
      </w:smartTag>
      <w:r>
        <w:rPr>
          <w:b/>
          <w:sz w:val="28"/>
        </w:rPr>
        <w:t xml:space="preserve"> of </w:t>
      </w:r>
      <w:smartTag w:uri="urn:schemas-microsoft-com:office:smarttags" w:element="State">
        <w:smartTag w:uri="urn:schemas-microsoft-com:office:smarttags" w:element="place">
          <w:r>
            <w:rPr>
              <w:b/>
              <w:sz w:val="28"/>
            </w:rPr>
            <w:t>New Jersey</w:t>
          </w:r>
        </w:smartTag>
      </w:smartTag>
    </w:p>
    <w:p w:rsidR="007C02F7" w:rsidRDefault="007C02F7" w:rsidP="007C02F7">
      <w:pPr>
        <w:spacing w:line="360" w:lineRule="auto"/>
        <w:jc w:val="center"/>
        <w:rPr>
          <w:b/>
          <w:sz w:val="28"/>
        </w:rPr>
      </w:pPr>
      <w:r>
        <w:rPr>
          <w:b/>
          <w:sz w:val="28"/>
        </w:rPr>
        <w:t xml:space="preserve">School of </w:t>
      </w:r>
      <w:smartTag w:uri="urn:schemas-microsoft-com:office:smarttags" w:element="PlaceName">
        <w:r>
          <w:rPr>
            <w:b/>
            <w:sz w:val="28"/>
          </w:rPr>
          <w:t>Management</w:t>
        </w:r>
      </w:smartTag>
      <w:r>
        <w:rPr>
          <w:b/>
          <w:sz w:val="28"/>
        </w:rPr>
        <w:t xml:space="preserve"> and Labor Relations</w:t>
      </w:r>
    </w:p>
    <w:p w:rsidR="007C02F7" w:rsidRDefault="007C02F7" w:rsidP="007C02F7">
      <w:pPr>
        <w:spacing w:line="360" w:lineRule="auto"/>
        <w:jc w:val="center"/>
        <w:rPr>
          <w:b/>
          <w:sz w:val="28"/>
        </w:rPr>
      </w:pPr>
      <w:r>
        <w:rPr>
          <w:b/>
          <w:sz w:val="28"/>
        </w:rPr>
        <w:t>Spring 2019 (2/4– 3/4)</w:t>
      </w:r>
    </w:p>
    <w:p w:rsidR="007C02F7" w:rsidRDefault="007C02F7" w:rsidP="007C02F7">
      <w:pPr>
        <w:spacing w:line="360" w:lineRule="auto"/>
        <w:jc w:val="center"/>
        <w:rPr>
          <w:b/>
          <w:sz w:val="28"/>
        </w:rPr>
      </w:pPr>
      <w:r>
        <w:rPr>
          <w:b/>
          <w:sz w:val="28"/>
        </w:rPr>
        <w:t>Issues in Work – Interviewing Skills</w:t>
      </w:r>
      <w:r w:rsidR="004458FA">
        <w:rPr>
          <w:b/>
          <w:sz w:val="28"/>
        </w:rPr>
        <w:t xml:space="preserve"> 37:575:393:M1</w:t>
      </w:r>
      <w:bookmarkStart w:id="0" w:name="_GoBack"/>
      <w:bookmarkEnd w:id="0"/>
    </w:p>
    <w:p w:rsidR="007C02F7" w:rsidRDefault="007C02F7" w:rsidP="007C02F7">
      <w:pPr>
        <w:spacing w:line="360" w:lineRule="auto"/>
        <w:ind w:right="-180"/>
        <w:jc w:val="center"/>
        <w:rPr>
          <w:b/>
          <w:sz w:val="28"/>
        </w:rPr>
      </w:pPr>
      <w:r>
        <w:rPr>
          <w:b/>
          <w:sz w:val="28"/>
        </w:rPr>
        <w:t xml:space="preserve">Monday, 7:15 p.m. – 10:05 p.m. (Rm. 020 </w:t>
      </w:r>
      <w:proofErr w:type="spellStart"/>
      <w:r>
        <w:rPr>
          <w:b/>
          <w:sz w:val="28"/>
        </w:rPr>
        <w:t>Loree</w:t>
      </w:r>
      <w:proofErr w:type="spellEnd"/>
      <w:r>
        <w:rPr>
          <w:b/>
          <w:sz w:val="28"/>
        </w:rPr>
        <w:t>)</w:t>
      </w:r>
    </w:p>
    <w:p w:rsidR="007C02F7" w:rsidRDefault="007C02F7" w:rsidP="007C02F7">
      <w:pPr>
        <w:spacing w:line="360" w:lineRule="auto"/>
      </w:pPr>
      <w:r>
        <w:rPr>
          <w:noProof/>
        </w:rPr>
        <mc:AlternateContent>
          <mc:Choice Requires="wps">
            <w:drawing>
              <wp:anchor distT="0" distB="0" distL="114300" distR="114300" simplePos="0" relativeHeight="251659264" behindDoc="0" locked="0" layoutInCell="0" allowOverlap="1" wp14:anchorId="40497CF3" wp14:editId="5E4B5F2D">
                <wp:simplePos x="0" y="0"/>
                <wp:positionH relativeFrom="column">
                  <wp:posOffset>-1028700</wp:posOffset>
                </wp:positionH>
                <wp:positionV relativeFrom="paragraph">
                  <wp:posOffset>38100</wp:posOffset>
                </wp:positionV>
                <wp:extent cx="75438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8A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pt" to="51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ke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3zh1k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" o:allowincell="f"/>
            </w:pict>
          </mc:Fallback>
        </mc:AlternateContent>
      </w:r>
      <w:r>
        <w:t> </w:t>
      </w:r>
    </w:p>
    <w:p w:rsidR="007C02F7" w:rsidRDefault="007C02F7" w:rsidP="007C02F7">
      <w:pPr>
        <w:spacing w:line="360" w:lineRule="auto"/>
      </w:pPr>
      <w:r>
        <w:rPr>
          <w:b/>
        </w:rPr>
        <w:t>Instructor:</w:t>
      </w:r>
      <w:r>
        <w:t xml:space="preserve"> Jeffrey J. </w:t>
      </w:r>
      <w:proofErr w:type="spellStart"/>
      <w:r>
        <w:t>Kaplowitz</w:t>
      </w:r>
      <w:proofErr w:type="spellEnd"/>
    </w:p>
    <w:p w:rsidR="007C02F7" w:rsidRDefault="007C02F7" w:rsidP="007C02F7">
      <w:pPr>
        <w:spacing w:line="360" w:lineRule="auto"/>
      </w:pPr>
      <w:r>
        <w:rPr>
          <w:b/>
        </w:rPr>
        <w:t>Phone:</w:t>
      </w:r>
      <w:r>
        <w:t xml:space="preserve"> 732 238 5176</w:t>
      </w:r>
    </w:p>
    <w:p w:rsidR="007C02F7" w:rsidRDefault="007C02F7" w:rsidP="007C02F7">
      <w:pPr>
        <w:spacing w:line="360" w:lineRule="auto"/>
      </w:pPr>
      <w:r>
        <w:rPr>
          <w:b/>
        </w:rPr>
        <w:t>Email:</w:t>
      </w:r>
      <w:r>
        <w:t xml:space="preserve"> </w:t>
      </w:r>
      <w:hyperlink r:id="rId4" w:history="1">
        <w:r>
          <w:rPr>
            <w:rStyle w:val="Hyperlink"/>
          </w:rPr>
          <w:t>jkaplow1@comcast.net</w:t>
        </w:r>
      </w:hyperlink>
    </w:p>
    <w:p w:rsidR="007C02F7" w:rsidRDefault="007C02F7" w:rsidP="007C02F7">
      <w:pPr>
        <w:spacing w:line="360" w:lineRule="auto"/>
      </w:pPr>
      <w:r>
        <w:rPr>
          <w:b/>
        </w:rPr>
        <w:t>Office Hours:</w:t>
      </w:r>
      <w:r>
        <w:t xml:space="preserve"> By appointment</w:t>
      </w:r>
    </w:p>
    <w:p w:rsidR="007C02F7" w:rsidRDefault="007C02F7" w:rsidP="007C02F7">
      <w:pPr>
        <w:spacing w:line="360" w:lineRule="auto"/>
      </w:pPr>
      <w:r>
        <w:t> </w:t>
      </w:r>
    </w:p>
    <w:p w:rsidR="007C02F7" w:rsidRDefault="007C02F7" w:rsidP="007C02F7">
      <w:pPr>
        <w:pStyle w:val="Heading1"/>
        <w:spacing w:line="360" w:lineRule="auto"/>
        <w:rPr>
          <w:sz w:val="28"/>
        </w:rPr>
      </w:pPr>
      <w:r>
        <w:rPr>
          <w:sz w:val="28"/>
        </w:rPr>
        <w:t>Required Text</w:t>
      </w:r>
    </w:p>
    <w:p w:rsidR="007C02F7" w:rsidRDefault="007C02F7" w:rsidP="007C02F7">
      <w:pPr>
        <w:spacing w:line="360" w:lineRule="auto"/>
      </w:pPr>
      <w:r>
        <w:t xml:space="preserve">    </w:t>
      </w:r>
      <w:r>
        <w:tab/>
        <w:t>None. There will be mandatory readings distributed in class.</w:t>
      </w:r>
    </w:p>
    <w:p w:rsidR="007C02F7" w:rsidRDefault="007C02F7" w:rsidP="007C02F7">
      <w:pPr>
        <w:spacing w:line="360" w:lineRule="auto"/>
      </w:pPr>
      <w:r>
        <w:t> </w:t>
      </w:r>
    </w:p>
    <w:p w:rsidR="007C02F7" w:rsidRDefault="007C02F7" w:rsidP="007C02F7">
      <w:pPr>
        <w:pStyle w:val="Heading1"/>
        <w:spacing w:line="360" w:lineRule="auto"/>
        <w:rPr>
          <w:sz w:val="28"/>
        </w:rPr>
      </w:pPr>
      <w:r>
        <w:rPr>
          <w:sz w:val="28"/>
        </w:rPr>
        <w:t>Course Overview</w:t>
      </w:r>
    </w:p>
    <w:p w:rsidR="007C02F7" w:rsidRDefault="007C02F7" w:rsidP="007C02F7">
      <w:pPr>
        <w:spacing w:line="360" w:lineRule="auto"/>
      </w:pPr>
      <w:r>
        <w:t xml:space="preserve">      The purpose of this course is to identify the core interviewing skills necessary to successfully navigate the job market. Students will learn how to prepare effective resumes, prep for the interview process and conduct themselves during the interview itself.</w:t>
      </w:r>
    </w:p>
    <w:p w:rsidR="007C02F7" w:rsidRDefault="007C02F7" w:rsidP="007C02F7">
      <w:pPr>
        <w:spacing w:line="360" w:lineRule="auto"/>
      </w:pPr>
      <w:r>
        <w:t xml:space="preserve">      The class will include lectures, role-playing, and interactive discussions that are meant to supplement the readings and stimulate debate on the various topics. Attendance and participation are strongly recommended since they make up the integral part of the grade. </w:t>
      </w:r>
    </w:p>
    <w:p w:rsidR="007C02F7" w:rsidRDefault="007C02F7" w:rsidP="007C02F7">
      <w:pPr>
        <w:pStyle w:val="Heading2"/>
        <w:spacing w:line="360" w:lineRule="auto"/>
      </w:pPr>
      <w:r>
        <w:t>Grades</w:t>
      </w:r>
    </w:p>
    <w:p w:rsidR="007C02F7" w:rsidRDefault="007C02F7" w:rsidP="007C02F7">
      <w:pPr>
        <w:spacing w:line="360" w:lineRule="auto"/>
      </w:pPr>
      <w:r>
        <w:t xml:space="preserve">      Grades will be determined based on attendance, participation, and successful completion of various projects such as well written resumes, etc.  There will be no tests in this mini-course.</w:t>
      </w:r>
    </w:p>
    <w:p w:rsidR="007C02F7" w:rsidRDefault="007C02F7" w:rsidP="007C02F7">
      <w:pPr>
        <w:spacing w:line="360" w:lineRule="auto"/>
      </w:pPr>
      <w:r>
        <w:t> </w:t>
      </w:r>
    </w:p>
    <w:p w:rsidR="007C02F7" w:rsidRDefault="007C02F7" w:rsidP="007C02F7">
      <w:pPr>
        <w:pStyle w:val="Heading2"/>
        <w:spacing w:line="360" w:lineRule="auto"/>
      </w:pPr>
      <w:r>
        <w:lastRenderedPageBreak/>
        <w:t>Course Policies</w:t>
      </w:r>
    </w:p>
    <w:p w:rsidR="007C02F7" w:rsidRDefault="007C02F7" w:rsidP="007C02F7">
      <w:pPr>
        <w:spacing w:line="360" w:lineRule="auto"/>
      </w:pPr>
      <w:r>
        <w:t xml:space="preserve">      </w:t>
      </w:r>
      <w:r>
        <w:rPr>
          <w:i/>
        </w:rPr>
        <w:t>Lectures:</w:t>
      </w:r>
      <w:r>
        <w:t xml:space="preserve"> Please be on time for lectures and active participation (questions, comments, </w:t>
      </w:r>
      <w:proofErr w:type="spellStart"/>
      <w:r>
        <w:t>etc</w:t>
      </w:r>
      <w:proofErr w:type="spellEnd"/>
      <w:r>
        <w:t xml:space="preserve">) is encouraged. To facilitate meaningful interaction, you are required to read the assigned articles </w:t>
      </w:r>
      <w:r>
        <w:rPr>
          <w:i/>
          <w:u w:val="single"/>
        </w:rPr>
        <w:t>before</w:t>
      </w:r>
      <w:r>
        <w:t xml:space="preserve"> lectures. Be sure to turn off your beepers and cellular phones during lecture because these sources of disruptions prove to be very annoying to your instructor and distracting to your classmates.  Use of these devices during class will result in points deducted from the class participation grade.</w:t>
      </w:r>
    </w:p>
    <w:p w:rsidR="007C02F7" w:rsidRDefault="007C02F7" w:rsidP="007C02F7">
      <w:pPr>
        <w:spacing w:line="360" w:lineRule="auto"/>
      </w:pPr>
      <w:r>
        <w:t xml:space="preserve">      </w:t>
      </w:r>
      <w:r>
        <w:rPr>
          <w:i/>
        </w:rPr>
        <w:t>Attendance:</w:t>
      </w:r>
      <w:r>
        <w:t xml:space="preserve"> Since this course has no exams attendance is paramount. With only five (5) classes, even one unexcused absence will severely affect a student’s grade. . If you are absent due to an excused absence, you must use the University absence website </w:t>
      </w:r>
      <w:hyperlink r:id="rId5" w:history="1">
        <w:r w:rsidRPr="0034611B">
          <w:rPr>
            <w:rStyle w:val="Hyperlink"/>
          </w:rPr>
          <w:t>http://sims.rutgers.edu/ssra/</w:t>
        </w:r>
      </w:hyperlink>
      <w:r>
        <w:t xml:space="preserve"> to report the date and reason of absence. An email will automatically be sent to me.</w:t>
      </w:r>
    </w:p>
    <w:p w:rsidR="007C02F7" w:rsidRDefault="007C02F7" w:rsidP="007C02F7">
      <w:pPr>
        <w:spacing w:line="360" w:lineRule="auto"/>
      </w:pPr>
    </w:p>
    <w:p w:rsidR="007C02F7" w:rsidRDefault="007C02F7" w:rsidP="007C02F7">
      <w:pPr>
        <w:pStyle w:val="Heading1"/>
        <w:spacing w:line="360" w:lineRule="auto"/>
      </w:pPr>
    </w:p>
    <w:p w:rsidR="007C02F7" w:rsidRDefault="007C02F7" w:rsidP="007C02F7">
      <w:pPr>
        <w:pStyle w:val="Heading1"/>
        <w:spacing w:line="360" w:lineRule="auto"/>
      </w:pPr>
    </w:p>
    <w:p w:rsidR="007C02F7" w:rsidRDefault="007C02F7" w:rsidP="007C02F7">
      <w:pPr>
        <w:pStyle w:val="Heading1"/>
        <w:spacing w:line="360" w:lineRule="auto"/>
      </w:pPr>
      <w:r>
        <w:t>Schedule</w:t>
      </w:r>
    </w:p>
    <w:tbl>
      <w:tblPr>
        <w:tblW w:w="0" w:type="auto"/>
        <w:tblInd w:w="-20" w:type="dxa"/>
        <w:tblCellMar>
          <w:left w:w="0" w:type="dxa"/>
          <w:right w:w="0" w:type="dxa"/>
        </w:tblCellMar>
        <w:tblLook w:val="0000" w:firstRow="0" w:lastRow="0" w:firstColumn="0" w:lastColumn="0" w:noHBand="0" w:noVBand="0"/>
      </w:tblPr>
      <w:tblGrid>
        <w:gridCol w:w="2900"/>
        <w:gridCol w:w="4667"/>
        <w:gridCol w:w="1093"/>
      </w:tblGrid>
      <w:tr w:rsidR="007C02F7" w:rsidTr="00081B2D">
        <w:trPr>
          <w:trHeight w:val="270"/>
        </w:trPr>
        <w:tc>
          <w:tcPr>
            <w:tcW w:w="2900" w:type="dxa"/>
            <w:tcBorders>
              <w:top w:val="nil"/>
              <w:left w:val="nil"/>
              <w:bottom w:val="single" w:sz="8" w:space="0" w:color="auto"/>
              <w:right w:val="single" w:sz="4" w:space="0" w:color="auto"/>
            </w:tcBorders>
            <w:vAlign w:val="bottom"/>
          </w:tcPr>
          <w:p w:rsidR="007C02F7" w:rsidRDefault="007C02F7" w:rsidP="00081B2D">
            <w:pPr>
              <w:jc w:val="center"/>
              <w:rPr>
                <w:rFonts w:ascii="Arial" w:eastAsia="Arial Unicode MS" w:hAnsi="Arial"/>
                <w:b/>
              </w:rPr>
            </w:pPr>
            <w:r>
              <w:rPr>
                <w:rFonts w:ascii="Arial" w:hAnsi="Arial"/>
                <w:b/>
              </w:rPr>
              <w:t>Date</w:t>
            </w:r>
          </w:p>
        </w:tc>
        <w:tc>
          <w:tcPr>
            <w:tcW w:w="4667" w:type="dxa"/>
            <w:tcBorders>
              <w:top w:val="nil"/>
              <w:left w:val="nil"/>
              <w:bottom w:val="single" w:sz="8" w:space="0" w:color="auto"/>
              <w:right w:val="single" w:sz="4" w:space="0" w:color="auto"/>
            </w:tcBorders>
            <w:vAlign w:val="bottom"/>
          </w:tcPr>
          <w:p w:rsidR="007C02F7" w:rsidRDefault="007C02F7" w:rsidP="00081B2D">
            <w:pPr>
              <w:jc w:val="center"/>
              <w:rPr>
                <w:rFonts w:ascii="Arial" w:eastAsia="Arial Unicode MS" w:hAnsi="Arial"/>
                <w:b/>
              </w:rPr>
            </w:pPr>
            <w:r>
              <w:rPr>
                <w:rFonts w:ascii="Arial" w:hAnsi="Arial"/>
                <w:b/>
              </w:rPr>
              <w:t>Topic</w:t>
            </w:r>
          </w:p>
        </w:tc>
        <w:tc>
          <w:tcPr>
            <w:tcW w:w="1093" w:type="dxa"/>
            <w:tcBorders>
              <w:top w:val="nil"/>
              <w:left w:val="nil"/>
              <w:bottom w:val="single" w:sz="8" w:space="0" w:color="auto"/>
              <w:right w:val="nil"/>
            </w:tcBorders>
            <w:vAlign w:val="bottom"/>
          </w:tcPr>
          <w:p w:rsidR="007C02F7" w:rsidRDefault="007C02F7" w:rsidP="00081B2D">
            <w:pPr>
              <w:jc w:val="center"/>
              <w:rPr>
                <w:rFonts w:ascii="Arial" w:eastAsia="Arial Unicode MS" w:hAnsi="Arial"/>
                <w:b/>
              </w:rPr>
            </w:pPr>
            <w:smartTag w:uri="urn:schemas-microsoft-com:office:smarttags" w:element="City">
              <w:smartTag w:uri="urn:schemas-microsoft-com:office:smarttags" w:element="place">
                <w:r>
                  <w:rPr>
                    <w:rFonts w:ascii="Arial" w:hAnsi="Arial"/>
                    <w:b/>
                  </w:rPr>
                  <w:t>Reading</w:t>
                </w:r>
              </w:smartTag>
            </w:smartTag>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7C02F7">
            <w:pPr>
              <w:jc w:val="center"/>
              <w:rPr>
                <w:rFonts w:ascii="Arial" w:eastAsia="Arial Unicode MS" w:hAnsi="Arial"/>
              </w:rPr>
            </w:pPr>
            <w:r>
              <w:rPr>
                <w:rFonts w:ascii="Arial" w:hAnsi="Arial"/>
              </w:rPr>
              <w:t>Week 1 (Feb 4th)</w:t>
            </w: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hAnsi="Arial"/>
              </w:rPr>
              <w:t>Introduction/Syllabus/Expectations</w:t>
            </w: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 xml:space="preserve">Preparing a Resume </w:t>
            </w: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7C02F7">
            <w:pPr>
              <w:rPr>
                <w:rFonts w:ascii="Arial" w:eastAsia="Arial Unicode MS" w:hAnsi="Arial"/>
              </w:rPr>
            </w:pPr>
            <w:r>
              <w:rPr>
                <w:rFonts w:ascii="Arial" w:hAnsi="Arial"/>
              </w:rPr>
              <w:t xml:space="preserve">       Week 2 (Feb 11</w:t>
            </w:r>
            <w:r>
              <w:rPr>
                <w:rFonts w:ascii="Arial" w:hAnsi="Arial"/>
                <w:vertAlign w:val="superscript"/>
              </w:rPr>
              <w:t>th</w:t>
            </w:r>
            <w:r>
              <w:rPr>
                <w:rFonts w:ascii="Arial" w:hAnsi="Arial"/>
              </w:rPr>
              <w:t>)</w:t>
            </w: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Networking</w:t>
            </w:r>
          </w:p>
        </w:tc>
        <w:tc>
          <w:tcPr>
            <w:tcW w:w="1093" w:type="dxa"/>
            <w:vAlign w:val="bottom"/>
          </w:tcPr>
          <w:p w:rsidR="007C02F7" w:rsidRDefault="007C02F7" w:rsidP="00081B2D">
            <w:pPr>
              <w:jc w:val="center"/>
              <w:rPr>
                <w:rFonts w:ascii="Arial" w:eastAsia="Arial Unicode MS" w:hAnsi="Arial"/>
              </w:rPr>
            </w:pPr>
            <w:r>
              <w:rPr>
                <w:rFonts w:ascii="Arial" w:eastAsia="Arial Unicode MS" w:hAnsi="Arial"/>
              </w:rPr>
              <w:t>TBDOS</w:t>
            </w: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The Recruiter Interview</w:t>
            </w: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7C02F7">
            <w:pPr>
              <w:rPr>
                <w:rFonts w:ascii="Arial" w:eastAsia="Arial Unicode MS" w:hAnsi="Arial"/>
              </w:rPr>
            </w:pPr>
            <w:r>
              <w:rPr>
                <w:rFonts w:ascii="Arial" w:hAnsi="Arial"/>
              </w:rPr>
              <w:t xml:space="preserve">       Week 3 (Feb 18th)</w:t>
            </w: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Interview Skills &amp; How not to be eliminated</w:t>
            </w:r>
          </w:p>
        </w:tc>
        <w:tc>
          <w:tcPr>
            <w:tcW w:w="1093" w:type="dxa"/>
            <w:vAlign w:val="bottom"/>
          </w:tcPr>
          <w:p w:rsidR="007C02F7" w:rsidRDefault="007C02F7" w:rsidP="00081B2D">
            <w:pPr>
              <w:jc w:val="center"/>
              <w:rPr>
                <w:rFonts w:ascii="Arial" w:eastAsia="Arial Unicode MS" w:hAnsi="Arial"/>
              </w:rPr>
            </w:pPr>
            <w:r>
              <w:rPr>
                <w:rFonts w:ascii="Arial" w:eastAsia="Arial Unicode MS" w:hAnsi="Arial"/>
              </w:rPr>
              <w:t>TBDOS</w:t>
            </w: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The Manager Interview</w:t>
            </w: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7C02F7">
            <w:pPr>
              <w:jc w:val="center"/>
              <w:rPr>
                <w:rFonts w:ascii="Arial" w:eastAsia="Arial Unicode MS" w:hAnsi="Arial"/>
              </w:rPr>
            </w:pPr>
            <w:r>
              <w:rPr>
                <w:rFonts w:ascii="Arial" w:eastAsia="Arial Unicode MS" w:hAnsi="Arial"/>
              </w:rPr>
              <w:t>Week 4 (Feb 25th)</w:t>
            </w:r>
          </w:p>
        </w:tc>
        <w:tc>
          <w:tcPr>
            <w:tcW w:w="4667" w:type="dxa"/>
            <w:tcBorders>
              <w:top w:val="nil"/>
              <w:left w:val="nil"/>
              <w:bottom w:val="nil"/>
              <w:right w:val="single" w:sz="4" w:space="0" w:color="auto"/>
            </w:tcBorders>
            <w:vAlign w:val="bottom"/>
          </w:tcPr>
          <w:p w:rsidR="007C02F7" w:rsidRDefault="007C02F7" w:rsidP="00081B2D">
            <w:pPr>
              <w:pStyle w:val="Heading3"/>
              <w:rPr>
                <w:b w:val="0"/>
                <w:bCs w:val="0"/>
              </w:rPr>
            </w:pPr>
            <w:r>
              <w:rPr>
                <w:b w:val="0"/>
                <w:bCs w:val="0"/>
              </w:rPr>
              <w:t>Questions and Answers &amp; Follow up</w:t>
            </w:r>
          </w:p>
        </w:tc>
        <w:tc>
          <w:tcPr>
            <w:tcW w:w="1093" w:type="dxa"/>
            <w:vAlign w:val="bottom"/>
          </w:tcPr>
          <w:p w:rsidR="007C02F7" w:rsidRDefault="007C02F7" w:rsidP="00081B2D">
            <w:pPr>
              <w:jc w:val="center"/>
              <w:rPr>
                <w:rFonts w:ascii="Arial" w:eastAsia="Arial Unicode MS" w:hAnsi="Arial"/>
              </w:rPr>
            </w:pPr>
            <w:r>
              <w:rPr>
                <w:rFonts w:ascii="Arial" w:eastAsia="Arial Unicode MS" w:hAnsi="Arial"/>
              </w:rPr>
              <w:t>TBDOS</w:t>
            </w: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pStyle w:val="Heading3"/>
              <w:rPr>
                <w:b w:val="0"/>
                <w:bCs w:val="0"/>
              </w:rPr>
            </w:pPr>
            <w:r>
              <w:rPr>
                <w:b w:val="0"/>
                <w:bCs w:val="0"/>
              </w:rPr>
              <w:t xml:space="preserve">Compensation Negotiations </w:t>
            </w: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7C02F7">
            <w:pPr>
              <w:jc w:val="center"/>
              <w:rPr>
                <w:rFonts w:ascii="Arial" w:eastAsia="Arial Unicode MS" w:hAnsi="Arial"/>
              </w:rPr>
            </w:pPr>
            <w:r>
              <w:rPr>
                <w:rFonts w:ascii="Arial" w:hAnsi="Arial"/>
              </w:rPr>
              <w:t>Week 5 (Mar 4th)</w:t>
            </w: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r>
              <w:rPr>
                <w:rFonts w:ascii="Arial" w:eastAsia="Arial Unicode MS" w:hAnsi="Arial"/>
              </w:rPr>
              <w:t>Legal Compliance and Discriminatory Interviews</w:t>
            </w:r>
          </w:p>
        </w:tc>
        <w:tc>
          <w:tcPr>
            <w:tcW w:w="1093" w:type="dxa"/>
            <w:vAlign w:val="bottom"/>
          </w:tcPr>
          <w:p w:rsidR="007C02F7" w:rsidRDefault="007C02F7" w:rsidP="00081B2D">
            <w:pPr>
              <w:jc w:val="center"/>
              <w:rPr>
                <w:rFonts w:ascii="Arial" w:eastAsia="Arial Unicode MS" w:hAnsi="Arial"/>
                <w:b/>
                <w:bCs/>
              </w:rPr>
            </w:pPr>
            <w:r>
              <w:rPr>
                <w:rFonts w:ascii="Arial" w:eastAsia="Arial Unicode MS" w:hAnsi="Arial"/>
              </w:rPr>
              <w:t>TBDOS</w:t>
            </w: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Pr="00AA4802" w:rsidRDefault="007C02F7" w:rsidP="00081B2D">
            <w:pPr>
              <w:jc w:val="center"/>
              <w:rPr>
                <w:rFonts w:ascii="Arial" w:eastAsia="Arial Unicode MS" w:hAnsi="Arial"/>
                <w:b/>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pStyle w:val="Heading3"/>
              <w:rPr>
                <w:rFonts w:ascii="Times New Roman" w:eastAsia="Times New Roman" w:hAnsi="Times New Roman"/>
              </w:rPr>
            </w:pPr>
            <w:r>
              <w:rPr>
                <w:rFonts w:ascii="Times New Roman" w:eastAsia="Times New Roman" w:hAnsi="Times New Roman"/>
              </w:rPr>
              <w:t xml:space="preserve">TBDOS – To Be Distributed on </w:t>
            </w:r>
            <w:smartTag w:uri="urn:schemas-microsoft-com:office:smarttags" w:element="City">
              <w:smartTag w:uri="urn:schemas-microsoft-com:office:smarttags" w:element="place">
                <w:r>
                  <w:rPr>
                    <w:rFonts w:ascii="Times New Roman" w:eastAsia="Times New Roman" w:hAnsi="Times New Roman"/>
                  </w:rPr>
                  <w:t>SAKAI</w:t>
                </w:r>
              </w:smartTag>
            </w:smartTag>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pStyle w:val="Heading3"/>
              <w:rPr>
                <w:rFonts w:ascii="Times New Roman" w:eastAsia="Times New Roman" w:hAnsi="Times New Roman"/>
              </w:rPr>
            </w:pPr>
          </w:p>
        </w:tc>
        <w:tc>
          <w:tcPr>
            <w:tcW w:w="1093" w:type="dxa"/>
            <w:vAlign w:val="bottom"/>
          </w:tcPr>
          <w:p w:rsidR="007C02F7" w:rsidRDefault="007C02F7" w:rsidP="00081B2D">
            <w:pPr>
              <w:jc w:val="center"/>
              <w:rPr>
                <w:rFonts w:ascii="Arial" w:eastAsia="Arial Unicode MS" w:hAnsi="Arial"/>
              </w:rPr>
            </w:pPr>
          </w:p>
        </w:tc>
      </w:tr>
      <w:tr w:rsidR="007C02F7" w:rsidTr="00081B2D">
        <w:trPr>
          <w:trHeight w:val="255"/>
        </w:trPr>
        <w:tc>
          <w:tcPr>
            <w:tcW w:w="2900"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rPr>
            </w:pPr>
          </w:p>
        </w:tc>
        <w:tc>
          <w:tcPr>
            <w:tcW w:w="4667" w:type="dxa"/>
            <w:tcBorders>
              <w:top w:val="nil"/>
              <w:left w:val="nil"/>
              <w:bottom w:val="nil"/>
              <w:right w:val="single" w:sz="4" w:space="0" w:color="auto"/>
            </w:tcBorders>
            <w:vAlign w:val="bottom"/>
          </w:tcPr>
          <w:p w:rsidR="007C02F7" w:rsidRDefault="007C02F7" w:rsidP="00081B2D">
            <w:pPr>
              <w:jc w:val="center"/>
              <w:rPr>
                <w:rFonts w:ascii="Arial" w:eastAsia="Arial Unicode MS" w:hAnsi="Arial"/>
                <w:b/>
                <w:color w:val="FF0000"/>
              </w:rPr>
            </w:pPr>
          </w:p>
        </w:tc>
        <w:tc>
          <w:tcPr>
            <w:tcW w:w="1093" w:type="dxa"/>
            <w:vAlign w:val="bottom"/>
          </w:tcPr>
          <w:p w:rsidR="007C02F7" w:rsidRDefault="007C02F7" w:rsidP="00081B2D">
            <w:pPr>
              <w:jc w:val="center"/>
              <w:rPr>
                <w:rFonts w:ascii="Arial" w:eastAsia="Arial Unicode MS" w:hAnsi="Arial"/>
                <w:color w:val="FF0000"/>
              </w:rPr>
            </w:pPr>
          </w:p>
        </w:tc>
      </w:tr>
    </w:tbl>
    <w:p w:rsidR="007C02F7" w:rsidRDefault="007C02F7" w:rsidP="007C02F7"/>
    <w:p w:rsidR="007C02F7" w:rsidRDefault="007C02F7" w:rsidP="007C02F7"/>
    <w:p w:rsidR="008617EE" w:rsidRDefault="008617EE"/>
    <w:sectPr w:rsidR="008617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F7"/>
    <w:rsid w:val="004458FA"/>
    <w:rsid w:val="007C02F7"/>
    <w:rsid w:val="0086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Stat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3095A5B0"/>
  <w15:docId w15:val="{773467E9-03E2-4658-8FA8-E3BA43AB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2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02F7"/>
    <w:pPr>
      <w:keepNext/>
      <w:outlineLvl w:val="0"/>
    </w:pPr>
    <w:rPr>
      <w:b/>
      <w:bCs/>
    </w:rPr>
  </w:style>
  <w:style w:type="paragraph" w:styleId="Heading2">
    <w:name w:val="heading 2"/>
    <w:basedOn w:val="Normal"/>
    <w:next w:val="Normal"/>
    <w:link w:val="Heading2Char"/>
    <w:qFormat/>
    <w:rsid w:val="007C02F7"/>
    <w:pPr>
      <w:keepNext/>
      <w:outlineLvl w:val="1"/>
    </w:pPr>
    <w:rPr>
      <w:b/>
      <w:bCs/>
      <w:sz w:val="28"/>
    </w:rPr>
  </w:style>
  <w:style w:type="paragraph" w:styleId="Heading3">
    <w:name w:val="heading 3"/>
    <w:basedOn w:val="Normal"/>
    <w:next w:val="Normal"/>
    <w:link w:val="Heading3Char"/>
    <w:qFormat/>
    <w:rsid w:val="007C02F7"/>
    <w:pPr>
      <w:keepNext/>
      <w:jc w:val="center"/>
      <w:outlineLvl w:val="2"/>
    </w:pPr>
    <w:rPr>
      <w:rFonts w:ascii="Arial" w:eastAsia="Arial Unicode MS"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2F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C02F7"/>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7C02F7"/>
    <w:rPr>
      <w:rFonts w:ascii="Arial" w:eastAsia="Arial Unicode MS" w:hAnsi="Arial" w:cs="Times New Roman"/>
      <w:b/>
      <w:bCs/>
      <w:sz w:val="24"/>
      <w:szCs w:val="24"/>
    </w:rPr>
  </w:style>
  <w:style w:type="character" w:styleId="Hyperlink">
    <w:name w:val="Hyperlink"/>
    <w:rsid w:val="007C0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s.rutgers.edu/ssra/" TargetMode="External"/><Relationship Id="rId4" Type="http://schemas.openxmlformats.org/officeDocument/2006/relationships/hyperlink" Target="mailto:jkaplow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Kaplowitz</dc:creator>
  <cp:lastModifiedBy>Barbara Konopka</cp:lastModifiedBy>
  <cp:revision>2</cp:revision>
  <dcterms:created xsi:type="dcterms:W3CDTF">2019-01-15T19:38:00Z</dcterms:created>
  <dcterms:modified xsi:type="dcterms:W3CDTF">2019-01-15T19:38:00Z</dcterms:modified>
</cp:coreProperties>
</file>